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293F" w14:textId="77777777" w:rsidR="002969E7" w:rsidRDefault="002969E7" w:rsidP="002969E7">
      <w:r>
        <w:rPr>
          <w:b/>
        </w:rPr>
        <w:t>Bylaws of the Board</w:t>
      </w:r>
      <w:r>
        <w:t xml:space="preserve"> </w:t>
      </w:r>
      <w:r>
        <w:tab/>
        <w:t>BB 9250(a)</w:t>
      </w:r>
    </w:p>
    <w:p w14:paraId="25A4375F" w14:textId="77777777" w:rsidR="002969E7" w:rsidRDefault="002969E7" w:rsidP="002969E7">
      <w:pPr>
        <w:tabs>
          <w:tab w:val="left" w:pos="720"/>
        </w:tabs>
      </w:pPr>
    </w:p>
    <w:p w14:paraId="27ECF70D" w14:textId="77777777" w:rsidR="002969E7" w:rsidRDefault="002969E7" w:rsidP="002969E7">
      <w:pPr>
        <w:rPr>
          <w:b/>
        </w:rPr>
      </w:pPr>
      <w:r>
        <w:rPr>
          <w:b/>
        </w:rPr>
        <w:t>REMUNERATION, REIMBURSEMENT AND OTHER BENEFITS</w:t>
      </w:r>
    </w:p>
    <w:p w14:paraId="36616EEB" w14:textId="77777777" w:rsidR="002969E7" w:rsidRDefault="002969E7" w:rsidP="002969E7"/>
    <w:p w14:paraId="52E8EB30" w14:textId="77777777" w:rsidR="002969E7" w:rsidRDefault="002969E7" w:rsidP="002969E7">
      <w:pPr>
        <w:rPr>
          <w:b/>
        </w:rPr>
      </w:pPr>
      <w:r>
        <w:rPr>
          <w:b/>
        </w:rPr>
        <w:t>Compensation of Governing Board Members</w:t>
      </w:r>
    </w:p>
    <w:p w14:paraId="4C9364A8" w14:textId="77777777" w:rsidR="002969E7" w:rsidRDefault="002969E7" w:rsidP="002969E7"/>
    <w:p w14:paraId="4D89612A" w14:textId="77777777" w:rsidR="002969E7" w:rsidRDefault="002969E7" w:rsidP="002969E7">
      <w:r>
        <w:t>Pursuant to the provisions in Education Code 35120, all designated members of the Board shall be compensated for attending regular or special Board meetings, or Board study sessions.  Each Board member will receive compensation in the amount of $120 per month.</w:t>
      </w:r>
    </w:p>
    <w:p w14:paraId="2A6163D2" w14:textId="77777777" w:rsidR="002969E7" w:rsidRDefault="002969E7" w:rsidP="002969E7"/>
    <w:p w14:paraId="753F47C7" w14:textId="7ACDDAE8" w:rsidR="002969E7" w:rsidRDefault="002969E7" w:rsidP="002969E7">
      <w:r>
        <w:t>A Board member may be compensated for any meeting when absent if the Board by resolution, duly adopted and included in it</w:t>
      </w:r>
      <w:r>
        <w:t>s</w:t>
      </w:r>
      <w:r>
        <w:t xml:space="preserve"> minutes, finds that at the time of the meeting the Board member is absent due to one of the following:</w:t>
      </w:r>
    </w:p>
    <w:p w14:paraId="17B18AFE" w14:textId="77777777" w:rsidR="002969E7" w:rsidRDefault="002969E7" w:rsidP="002969E7"/>
    <w:p w14:paraId="112DE2C1" w14:textId="77777777" w:rsidR="002969E7" w:rsidRDefault="002969E7" w:rsidP="002969E7">
      <w:pPr>
        <w:numPr>
          <w:ilvl w:val="0"/>
          <w:numId w:val="1"/>
        </w:numPr>
        <w:ind w:hanging="720"/>
      </w:pPr>
      <w:r>
        <w:t>Illness</w:t>
      </w:r>
    </w:p>
    <w:p w14:paraId="2860CD99" w14:textId="77777777" w:rsidR="002969E7" w:rsidRDefault="002969E7" w:rsidP="002969E7">
      <w:pPr>
        <w:ind w:left="720" w:hanging="720"/>
      </w:pPr>
    </w:p>
    <w:p w14:paraId="24BC2500" w14:textId="77777777" w:rsidR="002969E7" w:rsidRDefault="002969E7" w:rsidP="002969E7">
      <w:pPr>
        <w:numPr>
          <w:ilvl w:val="0"/>
          <w:numId w:val="1"/>
        </w:numPr>
        <w:ind w:hanging="720"/>
      </w:pPr>
      <w:r>
        <w:t>Jury duty or official court appearance</w:t>
      </w:r>
    </w:p>
    <w:p w14:paraId="60E4303D" w14:textId="77777777" w:rsidR="002969E7" w:rsidRDefault="002969E7" w:rsidP="002969E7">
      <w:pPr>
        <w:ind w:left="720" w:hanging="720"/>
      </w:pPr>
    </w:p>
    <w:p w14:paraId="2D1B79B1" w14:textId="77777777" w:rsidR="002969E7" w:rsidRDefault="002969E7" w:rsidP="002969E7">
      <w:pPr>
        <w:numPr>
          <w:ilvl w:val="0"/>
          <w:numId w:val="1"/>
        </w:numPr>
        <w:ind w:hanging="720"/>
      </w:pPr>
      <w:r>
        <w:t xml:space="preserve">Attending a local, state, or national conference, </w:t>
      </w:r>
      <w:proofErr w:type="gramStart"/>
      <w:r>
        <w:t>meeting</w:t>
      </w:r>
      <w:proofErr w:type="gramEnd"/>
      <w:r>
        <w:t xml:space="preserve"> or workshop in order to obtain information valuable to them and to the Program in the exercise of their duties.</w:t>
      </w:r>
    </w:p>
    <w:p w14:paraId="12183380" w14:textId="77777777" w:rsidR="002969E7" w:rsidRDefault="002969E7" w:rsidP="002969E7">
      <w:pPr>
        <w:ind w:left="720" w:hanging="720"/>
      </w:pPr>
    </w:p>
    <w:p w14:paraId="457C71D1" w14:textId="6711D424" w:rsidR="002969E7" w:rsidRDefault="002969E7" w:rsidP="002969E7">
      <w:pPr>
        <w:numPr>
          <w:ilvl w:val="0"/>
          <w:numId w:val="1"/>
        </w:numPr>
        <w:ind w:hanging="720"/>
      </w:pPr>
      <w:r>
        <w:t xml:space="preserve">Performing services outside the meeting for </w:t>
      </w:r>
      <w:r>
        <w:t>College and Career Advantage (CCA)</w:t>
      </w:r>
      <w:r>
        <w:t xml:space="preserve"> Regional Occupational Program (ROP)</w:t>
      </w:r>
    </w:p>
    <w:p w14:paraId="5227413B" w14:textId="77777777" w:rsidR="002969E7" w:rsidRDefault="002969E7" w:rsidP="002969E7"/>
    <w:p w14:paraId="46FE5A43" w14:textId="77777777" w:rsidR="002969E7" w:rsidRDefault="002969E7" w:rsidP="002969E7">
      <w:r>
        <w:t xml:space="preserve">When a member does not attend all meetings (except as noted above) held in any month, that member shall receive an amount not greater than the maximum amount allowed by this policy, divided by the number of </w:t>
      </w:r>
      <w:proofErr w:type="gramStart"/>
      <w:r>
        <w:t>meetings</w:t>
      </w:r>
      <w:proofErr w:type="gramEnd"/>
      <w:r>
        <w:t xml:space="preserve"> and multiplied by the number of meetings actually attended.</w:t>
      </w:r>
    </w:p>
    <w:p w14:paraId="26D99069" w14:textId="77777777" w:rsidR="002969E7" w:rsidRDefault="002969E7" w:rsidP="002969E7"/>
    <w:p w14:paraId="0385DE58" w14:textId="77777777" w:rsidR="002969E7" w:rsidRDefault="002969E7" w:rsidP="002969E7">
      <w:pPr>
        <w:rPr>
          <w:b/>
        </w:rPr>
      </w:pPr>
      <w:r>
        <w:rPr>
          <w:b/>
        </w:rPr>
        <w:t xml:space="preserve">Reimbursement of Expenses </w:t>
      </w:r>
    </w:p>
    <w:p w14:paraId="41AF9369" w14:textId="77777777" w:rsidR="002969E7" w:rsidRDefault="002969E7" w:rsidP="002969E7"/>
    <w:p w14:paraId="07B6FAE4" w14:textId="77777777" w:rsidR="002969E7" w:rsidRDefault="002969E7" w:rsidP="002969E7">
      <w:r>
        <w:t xml:space="preserve">Board members shall be reimbursed for traveling expenses incurred when authorized in advance by the Board. (Education Code 35044) </w:t>
      </w:r>
    </w:p>
    <w:p w14:paraId="11C3A4D8" w14:textId="77777777" w:rsidR="002969E7" w:rsidRDefault="002969E7" w:rsidP="002969E7"/>
    <w:p w14:paraId="1997A5CC" w14:textId="77777777" w:rsidR="002969E7" w:rsidRDefault="002969E7" w:rsidP="002969E7">
      <w:pPr>
        <w:rPr>
          <w:i/>
          <w:sz w:val="20"/>
        </w:rPr>
      </w:pPr>
      <w:r>
        <w:rPr>
          <w:i/>
          <w:sz w:val="20"/>
        </w:rPr>
        <w:t xml:space="preserve">(cf. 9240 - Board Development) </w:t>
      </w:r>
    </w:p>
    <w:p w14:paraId="69C046D8" w14:textId="77777777" w:rsidR="002969E7" w:rsidRDefault="002969E7" w:rsidP="002969E7"/>
    <w:p w14:paraId="106AAE1B" w14:textId="2B283F64" w:rsidR="002969E7" w:rsidRDefault="002969E7" w:rsidP="002969E7">
      <w:r>
        <w:t xml:space="preserve">The rate of reimbursement shall be the same rate specified for </w:t>
      </w:r>
      <w:r>
        <w:t>CCA</w:t>
      </w:r>
      <w:r>
        <w:t xml:space="preserve"> personnel. </w:t>
      </w:r>
    </w:p>
    <w:p w14:paraId="67A5E8EB" w14:textId="77777777" w:rsidR="002969E7" w:rsidRDefault="002969E7" w:rsidP="002969E7"/>
    <w:p w14:paraId="62E57887" w14:textId="77777777" w:rsidR="002969E7" w:rsidRDefault="002969E7" w:rsidP="002969E7">
      <w:pPr>
        <w:rPr>
          <w:i/>
          <w:sz w:val="20"/>
        </w:rPr>
      </w:pPr>
      <w:r>
        <w:rPr>
          <w:i/>
          <w:sz w:val="20"/>
        </w:rPr>
        <w:t xml:space="preserve">(cf. 3350 - Travel Expenses) </w:t>
      </w:r>
    </w:p>
    <w:p w14:paraId="184DC83C" w14:textId="77777777" w:rsidR="002969E7" w:rsidRDefault="002969E7" w:rsidP="002969E7">
      <w:pPr>
        <w:rPr>
          <w:szCs w:val="24"/>
        </w:rPr>
      </w:pPr>
    </w:p>
    <w:p w14:paraId="7B075C91" w14:textId="77777777" w:rsidR="002969E7" w:rsidRDefault="002969E7" w:rsidP="002969E7">
      <w:pPr>
        <w:rPr>
          <w:szCs w:val="24"/>
        </w:rPr>
      </w:pPr>
    </w:p>
    <w:p w14:paraId="64771E69" w14:textId="77777777" w:rsidR="002969E7" w:rsidRDefault="002969E7" w:rsidP="002969E7">
      <w:pPr>
        <w:rPr>
          <w:i/>
        </w:rPr>
      </w:pPr>
    </w:p>
    <w:p w14:paraId="48D6862C" w14:textId="77777777" w:rsidR="002969E7" w:rsidRDefault="002969E7" w:rsidP="002969E7">
      <w:pPr>
        <w:rPr>
          <w:i/>
          <w:sz w:val="20"/>
        </w:rPr>
      </w:pPr>
      <w:r>
        <w:rPr>
          <w:i/>
          <w:sz w:val="20"/>
        </w:rPr>
        <w:t>Legal Reference</w:t>
      </w:r>
      <w:proofErr w:type="gramStart"/>
      <w:r>
        <w:rPr>
          <w:i/>
          <w:sz w:val="20"/>
        </w:rPr>
        <w:t>:  (</w:t>
      </w:r>
      <w:proofErr w:type="gramEnd"/>
      <w:r>
        <w:rPr>
          <w:i/>
          <w:sz w:val="20"/>
        </w:rPr>
        <w:t>see next page)</w:t>
      </w:r>
    </w:p>
    <w:p w14:paraId="68E632A1" w14:textId="77777777" w:rsidR="002969E7" w:rsidRDefault="002969E7" w:rsidP="002969E7">
      <w:pPr>
        <w:rPr>
          <w:i/>
        </w:rPr>
      </w:pPr>
    </w:p>
    <w:p w14:paraId="623132DD" w14:textId="77777777" w:rsidR="002969E7" w:rsidRDefault="002969E7" w:rsidP="002969E7">
      <w:pPr>
        <w:rPr>
          <w:i/>
        </w:rPr>
      </w:pPr>
    </w:p>
    <w:p w14:paraId="1479231A" w14:textId="77777777" w:rsidR="002969E7" w:rsidRDefault="002969E7" w:rsidP="002969E7">
      <w:pPr>
        <w:rPr>
          <w:i/>
        </w:rPr>
      </w:pPr>
    </w:p>
    <w:p w14:paraId="0644559F" w14:textId="77777777" w:rsidR="002969E7" w:rsidRDefault="002969E7" w:rsidP="002969E7">
      <w:pPr>
        <w:rPr>
          <w:i/>
        </w:rPr>
      </w:pPr>
    </w:p>
    <w:p w14:paraId="06955895" w14:textId="77777777" w:rsidR="002969E7" w:rsidRDefault="002969E7" w:rsidP="002969E7">
      <w:pPr>
        <w:rPr>
          <w:i/>
        </w:rPr>
      </w:pPr>
    </w:p>
    <w:p w14:paraId="2A73F8DD" w14:textId="77777777" w:rsidR="002969E7" w:rsidRDefault="002969E7" w:rsidP="002969E7">
      <w:pPr>
        <w:jc w:val="left"/>
      </w:pPr>
      <w:r>
        <w:lastRenderedPageBreak/>
        <w:tab/>
        <w:t>BB 9250(b)</w:t>
      </w:r>
    </w:p>
    <w:p w14:paraId="4581726A" w14:textId="77777777" w:rsidR="002969E7" w:rsidRDefault="002969E7" w:rsidP="002969E7"/>
    <w:p w14:paraId="120F1F62" w14:textId="77777777" w:rsidR="002969E7" w:rsidRDefault="002969E7" w:rsidP="002969E7">
      <w:pPr>
        <w:rPr>
          <w:b/>
        </w:rPr>
      </w:pPr>
      <w:r>
        <w:rPr>
          <w:b/>
        </w:rPr>
        <w:t xml:space="preserve">REMUNERATION, REIMBURSEMENT AND OTHER </w:t>
      </w:r>
      <w:proofErr w:type="gramStart"/>
      <w:r>
        <w:rPr>
          <w:b/>
        </w:rPr>
        <w:t xml:space="preserve">BENEFITS  </w:t>
      </w:r>
      <w:r>
        <w:t>(</w:t>
      </w:r>
      <w:proofErr w:type="gramEnd"/>
      <w:r>
        <w:t>continued)</w:t>
      </w:r>
    </w:p>
    <w:p w14:paraId="1B10607C" w14:textId="77777777" w:rsidR="002969E7" w:rsidRDefault="002969E7" w:rsidP="002969E7">
      <w:pPr>
        <w:rPr>
          <w:i/>
        </w:rPr>
      </w:pPr>
    </w:p>
    <w:p w14:paraId="5E522F1D" w14:textId="77777777" w:rsidR="002969E7" w:rsidRDefault="002969E7" w:rsidP="002969E7">
      <w:pPr>
        <w:rPr>
          <w:i/>
          <w:sz w:val="20"/>
        </w:rPr>
      </w:pPr>
      <w:r>
        <w:rPr>
          <w:i/>
          <w:sz w:val="20"/>
        </w:rPr>
        <w:t>Legal Reference:</w:t>
      </w:r>
    </w:p>
    <w:p w14:paraId="11E662F9" w14:textId="77777777" w:rsidR="002969E7" w:rsidRDefault="002969E7" w:rsidP="002969E7">
      <w:pPr>
        <w:ind w:left="720"/>
        <w:rPr>
          <w:i/>
          <w:sz w:val="20"/>
          <w:u w:val="single"/>
        </w:rPr>
      </w:pPr>
      <w:r>
        <w:rPr>
          <w:i/>
          <w:sz w:val="20"/>
          <w:u w:val="single"/>
        </w:rPr>
        <w:t xml:space="preserve">EDUCATION CODE </w:t>
      </w:r>
    </w:p>
    <w:p w14:paraId="4E6FB276" w14:textId="77777777" w:rsidR="002969E7" w:rsidRDefault="002969E7" w:rsidP="002969E7">
      <w:pPr>
        <w:ind w:left="720"/>
        <w:rPr>
          <w:i/>
          <w:sz w:val="20"/>
        </w:rPr>
      </w:pPr>
      <w:r>
        <w:rPr>
          <w:i/>
          <w:sz w:val="20"/>
        </w:rPr>
        <w:t>1090 Compensation for members and mileage allowance</w:t>
      </w:r>
    </w:p>
    <w:p w14:paraId="2E1E4810" w14:textId="77777777" w:rsidR="002969E7" w:rsidRDefault="002969E7" w:rsidP="002969E7">
      <w:pPr>
        <w:ind w:left="720"/>
        <w:rPr>
          <w:i/>
          <w:sz w:val="20"/>
        </w:rPr>
      </w:pPr>
      <w:r>
        <w:rPr>
          <w:i/>
          <w:sz w:val="20"/>
        </w:rPr>
        <w:t>33050-</w:t>
      </w:r>
      <w:proofErr w:type="gramStart"/>
      <w:r>
        <w:rPr>
          <w:i/>
          <w:sz w:val="20"/>
        </w:rPr>
        <w:t>33053  General</w:t>
      </w:r>
      <w:proofErr w:type="gramEnd"/>
      <w:r>
        <w:rPr>
          <w:i/>
          <w:sz w:val="20"/>
        </w:rPr>
        <w:t xml:space="preserve"> waiver authority </w:t>
      </w:r>
    </w:p>
    <w:p w14:paraId="5ABF5691" w14:textId="77777777" w:rsidR="002969E7" w:rsidRDefault="002969E7" w:rsidP="002969E7">
      <w:pPr>
        <w:ind w:left="720"/>
        <w:rPr>
          <w:i/>
          <w:sz w:val="20"/>
        </w:rPr>
      </w:pPr>
      <w:r>
        <w:rPr>
          <w:i/>
          <w:sz w:val="20"/>
        </w:rPr>
        <w:t>33362-</w:t>
      </w:r>
      <w:proofErr w:type="gramStart"/>
      <w:r>
        <w:rPr>
          <w:i/>
          <w:sz w:val="20"/>
        </w:rPr>
        <w:t>33363  Reimbursement</w:t>
      </w:r>
      <w:proofErr w:type="gramEnd"/>
      <w:r>
        <w:rPr>
          <w:i/>
          <w:sz w:val="20"/>
        </w:rPr>
        <w:t xml:space="preserve"> of expenses (Department of Education and CSBA workshops) </w:t>
      </w:r>
    </w:p>
    <w:p w14:paraId="7968E0D3" w14:textId="77777777" w:rsidR="002969E7" w:rsidRDefault="002969E7" w:rsidP="002969E7">
      <w:pPr>
        <w:ind w:left="720"/>
        <w:rPr>
          <w:i/>
          <w:sz w:val="20"/>
        </w:rPr>
      </w:pPr>
      <w:r>
        <w:rPr>
          <w:i/>
          <w:sz w:val="20"/>
        </w:rPr>
        <w:t xml:space="preserve">35012 Board members; number, </w:t>
      </w:r>
      <w:proofErr w:type="gramStart"/>
      <w:r>
        <w:rPr>
          <w:i/>
          <w:sz w:val="20"/>
        </w:rPr>
        <w:t>election</w:t>
      </w:r>
      <w:proofErr w:type="gramEnd"/>
      <w:r>
        <w:rPr>
          <w:i/>
          <w:sz w:val="20"/>
        </w:rPr>
        <w:t xml:space="preserve"> and term </w:t>
      </w:r>
    </w:p>
    <w:p w14:paraId="4785EAEC" w14:textId="77777777" w:rsidR="002969E7" w:rsidRDefault="002969E7" w:rsidP="002969E7">
      <w:pPr>
        <w:ind w:left="720"/>
        <w:rPr>
          <w:i/>
          <w:sz w:val="20"/>
        </w:rPr>
      </w:pPr>
      <w:r>
        <w:rPr>
          <w:i/>
          <w:sz w:val="20"/>
        </w:rPr>
        <w:t xml:space="preserve">35044 Payment of traveling expenses of representatives of board </w:t>
      </w:r>
    </w:p>
    <w:p w14:paraId="77924BB4" w14:textId="77777777" w:rsidR="002969E7" w:rsidRDefault="002969E7" w:rsidP="002969E7">
      <w:pPr>
        <w:ind w:left="720"/>
        <w:rPr>
          <w:i/>
          <w:sz w:val="20"/>
        </w:rPr>
      </w:pPr>
      <w:r>
        <w:rPr>
          <w:i/>
          <w:sz w:val="20"/>
        </w:rPr>
        <w:t xml:space="preserve">35120 Compensation (services as member of governing board) </w:t>
      </w:r>
    </w:p>
    <w:p w14:paraId="426F2EC7" w14:textId="77777777" w:rsidR="002969E7" w:rsidRDefault="002969E7" w:rsidP="002969E7">
      <w:pPr>
        <w:ind w:left="720"/>
        <w:rPr>
          <w:i/>
          <w:sz w:val="20"/>
        </w:rPr>
      </w:pPr>
      <w:r>
        <w:rPr>
          <w:i/>
          <w:sz w:val="20"/>
        </w:rPr>
        <w:t xml:space="preserve">35172 Promotional activities </w:t>
      </w:r>
    </w:p>
    <w:p w14:paraId="3E6261D5" w14:textId="77777777" w:rsidR="002969E7" w:rsidRDefault="002969E7" w:rsidP="002969E7">
      <w:pPr>
        <w:ind w:left="720"/>
        <w:rPr>
          <w:i/>
          <w:sz w:val="20"/>
        </w:rPr>
      </w:pPr>
      <w:r>
        <w:rPr>
          <w:i/>
          <w:sz w:val="20"/>
        </w:rPr>
        <w:t xml:space="preserve">44038 Cash deposits for transportation purchased on </w:t>
      </w:r>
      <w:proofErr w:type="gramStart"/>
      <w:r>
        <w:rPr>
          <w:i/>
          <w:sz w:val="20"/>
        </w:rPr>
        <w:t>credit</w:t>
      </w:r>
      <w:proofErr w:type="gramEnd"/>
      <w:r>
        <w:rPr>
          <w:i/>
          <w:sz w:val="20"/>
        </w:rPr>
        <w:t xml:space="preserve"> </w:t>
      </w:r>
    </w:p>
    <w:p w14:paraId="5F50048A" w14:textId="77777777" w:rsidR="002969E7" w:rsidRDefault="002969E7" w:rsidP="002969E7">
      <w:pPr>
        <w:ind w:left="720"/>
        <w:rPr>
          <w:i/>
          <w:sz w:val="20"/>
          <w:u w:val="single"/>
        </w:rPr>
      </w:pPr>
      <w:r>
        <w:rPr>
          <w:i/>
          <w:sz w:val="20"/>
          <w:u w:val="single"/>
        </w:rPr>
        <w:t xml:space="preserve">GOVERNMENT CODE </w:t>
      </w:r>
    </w:p>
    <w:p w14:paraId="1BCB0C02" w14:textId="77777777" w:rsidR="002969E7" w:rsidRDefault="002969E7" w:rsidP="002969E7">
      <w:pPr>
        <w:ind w:left="720"/>
        <w:rPr>
          <w:i/>
          <w:sz w:val="20"/>
        </w:rPr>
      </w:pPr>
      <w:r>
        <w:rPr>
          <w:i/>
          <w:sz w:val="20"/>
        </w:rPr>
        <w:t xml:space="preserve">20322 Elective officers; election to become </w:t>
      </w:r>
      <w:proofErr w:type="gramStart"/>
      <w:r>
        <w:rPr>
          <w:i/>
          <w:sz w:val="20"/>
        </w:rPr>
        <w:t>member</w:t>
      </w:r>
      <w:proofErr w:type="gramEnd"/>
      <w:r>
        <w:rPr>
          <w:i/>
          <w:sz w:val="20"/>
        </w:rPr>
        <w:t xml:space="preserve"> </w:t>
      </w:r>
    </w:p>
    <w:p w14:paraId="57987574" w14:textId="77777777" w:rsidR="002969E7" w:rsidRDefault="002969E7" w:rsidP="002969E7">
      <w:pPr>
        <w:ind w:left="720"/>
        <w:rPr>
          <w:i/>
          <w:sz w:val="20"/>
        </w:rPr>
      </w:pPr>
      <w:r>
        <w:rPr>
          <w:i/>
          <w:sz w:val="20"/>
        </w:rPr>
        <w:t xml:space="preserve">53200-53209 Group insurance </w:t>
      </w:r>
    </w:p>
    <w:p w14:paraId="0EDEBCFC" w14:textId="77777777" w:rsidR="002969E7" w:rsidRDefault="002969E7" w:rsidP="002969E7">
      <w:pPr>
        <w:ind w:left="720"/>
        <w:rPr>
          <w:i/>
          <w:sz w:val="20"/>
          <w:u w:val="single"/>
        </w:rPr>
      </w:pPr>
      <w:r>
        <w:rPr>
          <w:i/>
          <w:sz w:val="20"/>
          <w:u w:val="single"/>
        </w:rPr>
        <w:t xml:space="preserve">UNITED STATES CODE, TITLE 26 </w:t>
      </w:r>
    </w:p>
    <w:p w14:paraId="1204BADC" w14:textId="77777777" w:rsidR="002969E7" w:rsidRDefault="002969E7" w:rsidP="002969E7">
      <w:pPr>
        <w:ind w:left="720"/>
        <w:rPr>
          <w:i/>
          <w:sz w:val="20"/>
        </w:rPr>
      </w:pPr>
      <w:r>
        <w:rPr>
          <w:i/>
          <w:sz w:val="20"/>
        </w:rPr>
        <w:t xml:space="preserve">403(b) Tax-sheltered annuities </w:t>
      </w:r>
    </w:p>
    <w:p w14:paraId="5A813CF2" w14:textId="77777777" w:rsidR="002969E7" w:rsidRDefault="002969E7" w:rsidP="002969E7">
      <w:pPr>
        <w:ind w:left="720"/>
        <w:rPr>
          <w:i/>
          <w:sz w:val="20"/>
          <w:u w:val="single"/>
        </w:rPr>
      </w:pPr>
      <w:r>
        <w:rPr>
          <w:i/>
          <w:sz w:val="20"/>
          <w:u w:val="single"/>
        </w:rPr>
        <w:t xml:space="preserve">COURT DECISIONS </w:t>
      </w:r>
    </w:p>
    <w:p w14:paraId="2B0C0481" w14:textId="77777777" w:rsidR="002969E7" w:rsidRDefault="002969E7" w:rsidP="002969E7">
      <w:pPr>
        <w:ind w:left="720"/>
        <w:rPr>
          <w:i/>
          <w:sz w:val="20"/>
        </w:rPr>
      </w:pPr>
      <w:r>
        <w:rPr>
          <w:i/>
          <w:sz w:val="20"/>
          <w:u w:val="single"/>
        </w:rPr>
        <w:t xml:space="preserve">Thorning v. </w:t>
      </w:r>
      <w:smartTag w:uri="urn:schemas-microsoft-com:office:smarttags" w:element="place">
        <w:smartTag w:uri="urn:schemas-microsoft-com:office:smarttags" w:element="PlaceName">
          <w:r>
            <w:rPr>
              <w:i/>
              <w:sz w:val="20"/>
              <w:u w:val="single"/>
            </w:rPr>
            <w:t>Hollister</w:t>
          </w:r>
        </w:smartTag>
        <w:r>
          <w:rPr>
            <w:i/>
            <w:sz w:val="20"/>
            <w:u w:val="single"/>
          </w:rPr>
          <w:t xml:space="preserve"> </w:t>
        </w:r>
        <w:smartTag w:uri="urn:schemas-microsoft-com:office:smarttags" w:element="PlaceType">
          <w:r>
            <w:rPr>
              <w:i/>
              <w:sz w:val="20"/>
              <w:u w:val="single"/>
            </w:rPr>
            <w:t>School District</w:t>
          </w:r>
        </w:smartTag>
      </w:smartTag>
      <w:r>
        <w:rPr>
          <w:i/>
          <w:sz w:val="20"/>
        </w:rPr>
        <w:t xml:space="preserve">, (1992) 11 Cal.App.4th 1598 </w:t>
      </w:r>
    </w:p>
    <w:p w14:paraId="0715949F" w14:textId="77777777" w:rsidR="002969E7" w:rsidRDefault="002969E7" w:rsidP="002969E7">
      <w:pPr>
        <w:ind w:left="720"/>
        <w:rPr>
          <w:i/>
          <w:sz w:val="20"/>
        </w:rPr>
      </w:pPr>
      <w:r>
        <w:rPr>
          <w:i/>
          <w:sz w:val="20"/>
          <w:u w:val="single"/>
        </w:rPr>
        <w:t>Board of Education of the Palo Alto Unified School District v. Superior Court of Santa Clara County</w:t>
      </w:r>
      <w:r>
        <w:rPr>
          <w:i/>
          <w:sz w:val="20"/>
        </w:rPr>
        <w:t xml:space="preserve">, (1979) 93 Cal.App.3d 578 </w:t>
      </w:r>
    </w:p>
    <w:p w14:paraId="61F33D60" w14:textId="77777777" w:rsidR="002969E7" w:rsidRDefault="002969E7" w:rsidP="002969E7">
      <w:pPr>
        <w:ind w:left="720"/>
        <w:rPr>
          <w:i/>
          <w:sz w:val="20"/>
          <w:u w:val="single"/>
        </w:rPr>
      </w:pPr>
      <w:r>
        <w:rPr>
          <w:i/>
          <w:sz w:val="20"/>
          <w:u w:val="single"/>
        </w:rPr>
        <w:t xml:space="preserve">ATTORNEY GENERAL OPINIONS </w:t>
      </w:r>
    </w:p>
    <w:p w14:paraId="4B866CC2" w14:textId="77777777" w:rsidR="002969E7" w:rsidRDefault="002969E7" w:rsidP="002969E7">
      <w:pPr>
        <w:ind w:left="720"/>
        <w:rPr>
          <w:i/>
          <w:sz w:val="20"/>
        </w:rPr>
      </w:pPr>
      <w:r>
        <w:rPr>
          <w:i/>
          <w:sz w:val="20"/>
        </w:rPr>
        <w:t xml:space="preserve">83 </w:t>
      </w:r>
      <w:proofErr w:type="spellStart"/>
      <w:r>
        <w:rPr>
          <w:i/>
          <w:sz w:val="20"/>
          <w:u w:val="single"/>
        </w:rPr>
        <w:t>Ops.Cal.Atty.Gen</w:t>
      </w:r>
      <w:proofErr w:type="spellEnd"/>
      <w:r>
        <w:rPr>
          <w:i/>
          <w:sz w:val="20"/>
        </w:rPr>
        <w:t xml:space="preserve">. 124 (2000) </w:t>
      </w:r>
    </w:p>
    <w:p w14:paraId="4FD66647" w14:textId="77777777" w:rsidR="002969E7" w:rsidRDefault="002969E7" w:rsidP="002969E7">
      <w:pPr>
        <w:rPr>
          <w:i/>
          <w:sz w:val="20"/>
        </w:rPr>
      </w:pPr>
      <w:r>
        <w:rPr>
          <w:i/>
          <w:sz w:val="20"/>
        </w:rPr>
        <w:t>Management Resources:</w:t>
      </w:r>
    </w:p>
    <w:p w14:paraId="6F1EA34F" w14:textId="77777777" w:rsidR="002969E7" w:rsidRDefault="002969E7" w:rsidP="002969E7">
      <w:pPr>
        <w:ind w:left="720"/>
        <w:jc w:val="left"/>
        <w:rPr>
          <w:i/>
          <w:iCs/>
          <w:sz w:val="20"/>
          <w:szCs w:val="24"/>
          <w:u w:val="single"/>
        </w:rPr>
      </w:pPr>
      <w:r>
        <w:rPr>
          <w:i/>
          <w:iCs/>
          <w:sz w:val="20"/>
          <w:u w:val="single"/>
        </w:rPr>
        <w:t>WEB SITES</w:t>
      </w:r>
    </w:p>
    <w:p w14:paraId="056BEEA9" w14:textId="77777777" w:rsidR="002969E7" w:rsidRDefault="002969E7" w:rsidP="002969E7">
      <w:pPr>
        <w:ind w:left="720"/>
        <w:rPr>
          <w:i/>
          <w:sz w:val="20"/>
        </w:rPr>
      </w:pPr>
      <w:r>
        <w:rPr>
          <w:i/>
          <w:sz w:val="20"/>
        </w:rPr>
        <w:t>CSBA:  http://www.csba.org</w:t>
      </w:r>
    </w:p>
    <w:p w14:paraId="18AF7EAC" w14:textId="77777777" w:rsidR="002969E7" w:rsidRDefault="002969E7" w:rsidP="002969E7">
      <w:pPr>
        <w:ind w:left="720"/>
        <w:rPr>
          <w:i/>
          <w:sz w:val="20"/>
        </w:rPr>
      </w:pPr>
      <w:r>
        <w:rPr>
          <w:i/>
          <w:sz w:val="20"/>
        </w:rPr>
        <w:t>Public Employees’ Retirement System: http://www.calpers.ca.gov</w:t>
      </w:r>
    </w:p>
    <w:p w14:paraId="1F9B4595" w14:textId="77777777" w:rsidR="002969E7" w:rsidRDefault="002969E7" w:rsidP="002969E7">
      <w:pPr>
        <w:jc w:val="left"/>
        <w:rPr>
          <w:szCs w:val="24"/>
        </w:rPr>
      </w:pPr>
    </w:p>
    <w:p w14:paraId="22C92857" w14:textId="77777777" w:rsidR="002969E7" w:rsidRDefault="002969E7" w:rsidP="002969E7"/>
    <w:p w14:paraId="1A1D68D3" w14:textId="77777777" w:rsidR="002969E7" w:rsidRDefault="002969E7" w:rsidP="002969E7"/>
    <w:p w14:paraId="754B2A9C" w14:textId="77777777" w:rsidR="002969E7" w:rsidRDefault="002969E7" w:rsidP="002969E7"/>
    <w:p w14:paraId="5FAE9935" w14:textId="77777777" w:rsidR="002969E7" w:rsidRDefault="002969E7" w:rsidP="002969E7"/>
    <w:p w14:paraId="48386DE1" w14:textId="77777777" w:rsidR="002969E7" w:rsidRDefault="002969E7" w:rsidP="002969E7"/>
    <w:p w14:paraId="37DC3298" w14:textId="77777777" w:rsidR="002969E7" w:rsidRDefault="002969E7" w:rsidP="002969E7"/>
    <w:p w14:paraId="158DD39A" w14:textId="77777777" w:rsidR="002969E7" w:rsidRDefault="002969E7" w:rsidP="002969E7"/>
    <w:p w14:paraId="7CFB8160" w14:textId="77777777" w:rsidR="002969E7" w:rsidRDefault="002969E7" w:rsidP="002969E7"/>
    <w:p w14:paraId="579F3630" w14:textId="77777777" w:rsidR="002969E7" w:rsidRDefault="002969E7" w:rsidP="002969E7"/>
    <w:p w14:paraId="403940E7" w14:textId="77777777" w:rsidR="002969E7" w:rsidRDefault="002969E7" w:rsidP="002969E7"/>
    <w:p w14:paraId="7A36A8C6" w14:textId="77777777" w:rsidR="002969E7" w:rsidRDefault="002969E7" w:rsidP="002969E7"/>
    <w:p w14:paraId="72A27569" w14:textId="77777777" w:rsidR="002969E7" w:rsidRDefault="002969E7" w:rsidP="002969E7"/>
    <w:p w14:paraId="74617CA9" w14:textId="77777777" w:rsidR="002969E7" w:rsidRDefault="002969E7" w:rsidP="002969E7"/>
    <w:p w14:paraId="04F6E83A" w14:textId="77777777" w:rsidR="002969E7" w:rsidRDefault="002969E7" w:rsidP="002969E7"/>
    <w:p w14:paraId="66F45C3E" w14:textId="77777777" w:rsidR="002969E7" w:rsidRDefault="002969E7" w:rsidP="002969E7"/>
    <w:p w14:paraId="21C6BD99" w14:textId="77777777" w:rsidR="002969E7" w:rsidRDefault="002969E7" w:rsidP="002969E7"/>
    <w:p w14:paraId="11EEA216" w14:textId="77777777" w:rsidR="002969E7" w:rsidRDefault="002969E7" w:rsidP="002969E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69E7" w14:paraId="2BDAC5B9" w14:textId="77777777" w:rsidTr="002969E7">
        <w:tc>
          <w:tcPr>
            <w:tcW w:w="4675" w:type="dxa"/>
          </w:tcPr>
          <w:p w14:paraId="27A5E0CB" w14:textId="77777777" w:rsidR="002969E7" w:rsidRDefault="002969E7" w:rsidP="002969E7">
            <w:r>
              <w:t>Bylaw</w:t>
            </w:r>
          </w:p>
          <w:p w14:paraId="7DA29AF3" w14:textId="2B4280A2" w:rsidR="002969E7" w:rsidRDefault="002969E7" w:rsidP="002969E7">
            <w:r>
              <w:t>adopted:  October 25, 2007</w:t>
            </w:r>
          </w:p>
          <w:p w14:paraId="0AFF6ACB" w14:textId="0A037903" w:rsidR="002969E7" w:rsidRDefault="002969E7" w:rsidP="002969E7">
            <w:r>
              <w:t>revised:  January 8, 2024</w:t>
            </w:r>
          </w:p>
        </w:tc>
        <w:tc>
          <w:tcPr>
            <w:tcW w:w="4675" w:type="dxa"/>
          </w:tcPr>
          <w:p w14:paraId="2CC673F3" w14:textId="77777777" w:rsidR="002969E7" w:rsidRPr="002969E7" w:rsidRDefault="002969E7" w:rsidP="002969E7">
            <w:pPr>
              <w:jc w:val="right"/>
              <w:rPr>
                <w:b/>
                <w:bCs/>
              </w:rPr>
            </w:pPr>
            <w:r w:rsidRPr="002969E7">
              <w:rPr>
                <w:b/>
                <w:bCs/>
              </w:rPr>
              <w:t>COLLEGE AND CAREER ADVANTAGE</w:t>
            </w:r>
          </w:p>
          <w:p w14:paraId="03B0AC9D" w14:textId="3629BC21" w:rsidR="002969E7" w:rsidRDefault="002969E7" w:rsidP="002969E7">
            <w:pPr>
              <w:jc w:val="right"/>
            </w:pPr>
            <w:r>
              <w:t>San Juan Capistrano, California</w:t>
            </w:r>
          </w:p>
        </w:tc>
      </w:tr>
    </w:tbl>
    <w:p w14:paraId="1CD1D261" w14:textId="77777777" w:rsidR="000F231F" w:rsidRDefault="000F231F" w:rsidP="002969E7"/>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495D"/>
    <w:multiLevelType w:val="hybridMultilevel"/>
    <w:tmpl w:val="59A45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982895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E7"/>
    <w:rsid w:val="000F231F"/>
    <w:rsid w:val="0029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643402C"/>
  <w15:chartTrackingRefBased/>
  <w15:docId w15:val="{7AA3E4C4-366D-4713-AE7A-71D5AEB4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E7"/>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2389</Characters>
  <Application>Microsoft Office Word</Application>
  <DocSecurity>0</DocSecurity>
  <Lines>19</Lines>
  <Paragraphs>5</Paragraphs>
  <ScaleCrop>false</ScaleCrop>
  <Company>Capistrano Unified School District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2023-12-19T22:59:00Z</dcterms:created>
  <dcterms:modified xsi:type="dcterms:W3CDTF">2023-12-19T23:05:00Z</dcterms:modified>
</cp:coreProperties>
</file>